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75B6" w14:textId="77777777" w:rsidR="00DC3C19" w:rsidRDefault="00DC3C19" w:rsidP="00DC3C19">
      <w:pPr>
        <w:pStyle w:val="xmsonormal"/>
      </w:pPr>
      <w:r>
        <w:rPr>
          <w:b/>
          <w:bCs/>
        </w:rPr>
        <w:t>Bericht zur Veranstaltung des Regionalverbands Donau-Iller am 25. September 2024 in Mindelheim</w:t>
      </w:r>
    </w:p>
    <w:p w14:paraId="6AC6AC0B" w14:textId="77777777" w:rsidR="00DC3C19" w:rsidRDefault="00DC3C19" w:rsidP="00DC3C19">
      <w:pPr>
        <w:pStyle w:val="xmsonormal"/>
      </w:pPr>
      <w:r>
        <w:t>Die gut besuchte Veranstaltung des Regionalverbands Donau-Iller fand am 25. September 2024 in Mindelheim statt und zog eine breite Zuhörerschaft an. Der Fokus lag auf der Vorstellung der aktuellen Pläne zur Nutzung von Windenergie in der Region sowie auf der Festlegung von Vorranggebieten. Die Diskussion war insgesamt sachlich und respektvoll geführt, wobei zahlreiche Fragen zur Planung, Umsetzung und den nächsten Schritten aufgeworfen und eingehend beantwortet wurden.</w:t>
      </w:r>
    </w:p>
    <w:p w14:paraId="62C31589" w14:textId="77777777" w:rsidR="00DC3C19" w:rsidRDefault="00DC3C19" w:rsidP="00DC3C19">
      <w:pPr>
        <w:pStyle w:val="xmsonormal"/>
      </w:pPr>
      <w:r>
        <w:rPr>
          <w:b/>
          <w:bCs/>
          <w:sz w:val="27"/>
          <w:szCs w:val="27"/>
        </w:rPr>
        <w:t>Themen der Veranstaltung:</w:t>
      </w:r>
    </w:p>
    <w:p w14:paraId="711E0634" w14:textId="77777777" w:rsidR="00DC3C19" w:rsidRDefault="00DC3C19" w:rsidP="00DC3C19">
      <w:pPr>
        <w:pStyle w:val="xmsonormal"/>
      </w:pPr>
      <w:r>
        <w:rPr>
          <w:b/>
          <w:bCs/>
        </w:rPr>
        <w:t>1. Flächenbeitragswerte und Zielerreichung der Region:</w:t>
      </w:r>
    </w:p>
    <w:p w14:paraId="27E0E623" w14:textId="77777777" w:rsidR="00DC3C19" w:rsidRDefault="00DC3C19" w:rsidP="00DC3C19">
      <w:pPr>
        <w:pStyle w:val="xmsonormal"/>
        <w:numPr>
          <w:ilvl w:val="0"/>
          <w:numId w:val="1"/>
        </w:numPr>
      </w:pPr>
      <w:r>
        <w:t xml:space="preserve">In der Präsentation wurde aufgezeigt, wie sich die Flächen für die Windenergie-Nutzung in den verschiedenen Landkreisen der Region Donau-Iller verteilen. Der </w:t>
      </w:r>
      <w:r>
        <w:rPr>
          <w:b/>
          <w:bCs/>
        </w:rPr>
        <w:t>Alb-Donau-Kreis</w:t>
      </w:r>
      <w:r>
        <w:t xml:space="preserve"> nimmt mit </w:t>
      </w:r>
      <w:r>
        <w:rPr>
          <w:b/>
          <w:bCs/>
        </w:rPr>
        <w:t>6.585 Hektar</w:t>
      </w:r>
      <w:r>
        <w:t xml:space="preserve"> die größte Fläche ein, gefolgt vom </w:t>
      </w:r>
      <w:r>
        <w:rPr>
          <w:b/>
          <w:bCs/>
        </w:rPr>
        <w:t>Landkreis Günzburg</w:t>
      </w:r>
      <w:r>
        <w:t xml:space="preserve"> mit </w:t>
      </w:r>
      <w:r>
        <w:rPr>
          <w:b/>
          <w:bCs/>
        </w:rPr>
        <w:t>3.100 Hektar</w:t>
      </w:r>
      <w:r>
        <w:t xml:space="preserve">. Die Gesamtfläche für Baden-Württemberg beträgt </w:t>
      </w:r>
      <w:r>
        <w:rPr>
          <w:b/>
          <w:bCs/>
        </w:rPr>
        <w:t>9.933 Hektar</w:t>
      </w:r>
      <w:r>
        <w:t xml:space="preserve">, was einen Flächenanteil von </w:t>
      </w:r>
      <w:r>
        <w:rPr>
          <w:b/>
          <w:bCs/>
        </w:rPr>
        <w:t>3,44 %</w:t>
      </w:r>
      <w:r>
        <w:t xml:space="preserve"> bedeutet. Für den bayerischen Teil der Region sind </w:t>
      </w:r>
      <w:r>
        <w:rPr>
          <w:b/>
          <w:bCs/>
        </w:rPr>
        <w:t>6.100 Hektar</w:t>
      </w:r>
      <w:r>
        <w:t xml:space="preserve"> vorgesehen, mit einem Flächenanteil von </w:t>
      </w:r>
      <w:r>
        <w:rPr>
          <w:b/>
          <w:bCs/>
        </w:rPr>
        <w:t>2,37 %</w:t>
      </w:r>
      <w:r>
        <w:t xml:space="preserve">. Die </w:t>
      </w:r>
      <w:r>
        <w:rPr>
          <w:b/>
          <w:bCs/>
        </w:rPr>
        <w:t>gesamte Region</w:t>
      </w:r>
      <w:r>
        <w:t xml:space="preserve"> steuert somit </w:t>
      </w:r>
      <w:r>
        <w:rPr>
          <w:b/>
          <w:bCs/>
        </w:rPr>
        <w:t>2,93 %</w:t>
      </w:r>
      <w:r>
        <w:t xml:space="preserve"> zur Flächenzielerreichung bei.</w:t>
      </w:r>
    </w:p>
    <w:p w14:paraId="79E9A042" w14:textId="77777777" w:rsidR="00DC3C19" w:rsidRDefault="00DC3C19" w:rsidP="00DC3C19">
      <w:pPr>
        <w:pStyle w:val="xmsonormal"/>
        <w:ind w:left="720"/>
      </w:pPr>
      <w:r>
        <w:t xml:space="preserve">Die Region ist damit auf gutem Wege, die </w:t>
      </w:r>
      <w:r>
        <w:rPr>
          <w:b/>
          <w:bCs/>
        </w:rPr>
        <w:t>vorgeschriebenen Flächenziele von 1,8 % in Baden-Württemberg</w:t>
      </w:r>
      <w:r>
        <w:t xml:space="preserve"> und </w:t>
      </w:r>
      <w:r>
        <w:rPr>
          <w:b/>
          <w:bCs/>
        </w:rPr>
        <w:t>2,0 % in Bayern</w:t>
      </w:r>
      <w:r>
        <w:t xml:space="preserve"> zu erreichen. Sollte diese Quote nicht erfüllt werden, käme die "Super-Privilegierung" zum Tragen, die den Bau von Windkraftanlagen auch außerhalb der Vorranggebiete ermöglichen würde.</w:t>
      </w:r>
    </w:p>
    <w:p w14:paraId="12B5F220" w14:textId="77777777" w:rsidR="00DC3C19" w:rsidRDefault="00DC3C19" w:rsidP="00DC3C19">
      <w:pPr>
        <w:pStyle w:val="xmsonormal"/>
      </w:pPr>
      <w:r>
        <w:rPr>
          <w:b/>
          <w:bCs/>
        </w:rPr>
        <w:t>2. Einführung in rechtliche Grundlagen und das Wind-an-Land-Gesetz:</w:t>
      </w:r>
    </w:p>
    <w:p w14:paraId="691669B3" w14:textId="77777777" w:rsidR="00DC3C19" w:rsidRDefault="00DC3C19" w:rsidP="00DC3C19">
      <w:pPr>
        <w:pStyle w:val="xmsonormal"/>
        <w:numPr>
          <w:ilvl w:val="0"/>
          <w:numId w:val="2"/>
        </w:numPr>
      </w:pPr>
      <w:r>
        <w:t xml:space="preserve">Ein wesentlicher Punkt der Veranstaltung war die Erklärung der rechtlichen Grundlagen, auf denen die Planungen zur Windenergienutzung basieren. Das </w:t>
      </w:r>
      <w:r>
        <w:rPr>
          <w:b/>
          <w:bCs/>
        </w:rPr>
        <w:t>EEG 2023</w:t>
      </w:r>
      <w:r>
        <w:t xml:space="preserve"> (Erneuerbare-Energien-Gesetz) hebt Windenergie als </w:t>
      </w:r>
      <w:r>
        <w:rPr>
          <w:b/>
          <w:bCs/>
        </w:rPr>
        <w:t>überragend öffentliches Interesse</w:t>
      </w:r>
      <w:r>
        <w:t xml:space="preserve"> hervor, wobei sie der </w:t>
      </w:r>
      <w:r>
        <w:rPr>
          <w:b/>
          <w:bCs/>
        </w:rPr>
        <w:t>öffentlichen Sicherheit</w:t>
      </w:r>
      <w:r>
        <w:t xml:space="preserve"> dient. Dieses Gesetz gibt der Windenergie Priorität in Schutzgüterabwägungen und verleiht der Flächenplanung für Windenergieanlagen eine hohe Bedeutung. Das Wind-an-Land-Gesetz legt fest, dass die jeweiligen Regionen ihre </w:t>
      </w:r>
      <w:r>
        <w:rPr>
          <w:b/>
          <w:bCs/>
        </w:rPr>
        <w:t>Flächenbeitragsziele</w:t>
      </w:r>
      <w:r>
        <w:t xml:space="preserve"> erfüllen müssen.</w:t>
      </w:r>
    </w:p>
    <w:p w14:paraId="1BE1DB16" w14:textId="77777777" w:rsidR="00DC3C19" w:rsidRDefault="00DC3C19" w:rsidP="00DC3C19">
      <w:pPr>
        <w:pStyle w:val="xmsonormal"/>
      </w:pPr>
      <w:r>
        <w:rPr>
          <w:b/>
          <w:bCs/>
        </w:rPr>
        <w:t>3. Vorranggebiete und Bedeutung:</w:t>
      </w:r>
    </w:p>
    <w:p w14:paraId="429E936A" w14:textId="77777777" w:rsidR="00DC3C19" w:rsidRDefault="00DC3C19" w:rsidP="00DC3C19">
      <w:pPr>
        <w:pStyle w:val="xmsonormal"/>
        <w:numPr>
          <w:ilvl w:val="0"/>
          <w:numId w:val="3"/>
        </w:numPr>
      </w:pPr>
      <w:r>
        <w:t xml:space="preserve">Die Festlegung von </w:t>
      </w:r>
      <w:r>
        <w:rPr>
          <w:b/>
          <w:bCs/>
        </w:rPr>
        <w:t>Vorranggebieten</w:t>
      </w:r>
      <w:r>
        <w:t xml:space="preserve"> schützt diese Flächen vor anderen Nutzungsansprüchen. In diesen Gebieten sind Windkraftanlagen </w:t>
      </w:r>
      <w:r>
        <w:rPr>
          <w:b/>
          <w:bCs/>
        </w:rPr>
        <w:t>privilegiert zulässig</w:t>
      </w:r>
      <w:r>
        <w:t xml:space="preserve">. Außerhalb dieser Gebiete ist ein </w:t>
      </w:r>
      <w:r>
        <w:rPr>
          <w:b/>
          <w:bCs/>
        </w:rPr>
        <w:t>flächen</w:t>
      </w:r>
      <w:r>
        <w:rPr>
          <w:b/>
          <w:bCs/>
        </w:rPr>
        <w:softHyphen/>
        <w:t>deckender Ausschluss</w:t>
      </w:r>
      <w:r>
        <w:t xml:space="preserve"> von Windkraftanlagen vorgesehen. Es wurde klar gemacht, dass die Flächen in den Vorranggebieten </w:t>
      </w:r>
      <w:r>
        <w:rPr>
          <w:b/>
          <w:bCs/>
        </w:rPr>
        <w:t>verbindliche Vorgaben</w:t>
      </w:r>
      <w:r>
        <w:t xml:space="preserve"> darstellen und dass gegebenenfalls Bauleitpläne angepasst werden müssen, um die Nutzung von Windenergie sicherzustellen.</w:t>
      </w:r>
    </w:p>
    <w:p w14:paraId="588A1ABB" w14:textId="77777777" w:rsidR="00DC3C19" w:rsidRDefault="00DC3C19" w:rsidP="00DC3C19">
      <w:pPr>
        <w:pStyle w:val="xmsonormal"/>
      </w:pPr>
      <w:r>
        <w:rPr>
          <w:b/>
          <w:bCs/>
        </w:rPr>
        <w:t>4. Technische Aspekte moderner Windenergieanlagen:</w:t>
      </w:r>
    </w:p>
    <w:p w14:paraId="45304DE0" w14:textId="77777777" w:rsidR="00DC3C19" w:rsidRDefault="00DC3C19" w:rsidP="00DC3C19">
      <w:pPr>
        <w:pStyle w:val="xmsonormal"/>
        <w:numPr>
          <w:ilvl w:val="0"/>
          <w:numId w:val="4"/>
        </w:numPr>
      </w:pPr>
      <w:r>
        <w:t xml:space="preserve">Ein weiterer Punkt war die </w:t>
      </w:r>
      <w:r>
        <w:rPr>
          <w:b/>
          <w:bCs/>
        </w:rPr>
        <w:t>Weiterentwicklung der Anlagentechnik</w:t>
      </w:r>
      <w:r>
        <w:t xml:space="preserve">, insbesondere im Hinblick auf den Flächenbedarf moderner Windenergieanlagen. Der </w:t>
      </w:r>
      <w:r>
        <w:rPr>
          <w:b/>
          <w:bCs/>
        </w:rPr>
        <w:lastRenderedPageBreak/>
        <w:t>Flächenbedarf</w:t>
      </w:r>
      <w:r>
        <w:t xml:space="preserve"> moderner Anlagen liegt bei </w:t>
      </w:r>
      <w:r>
        <w:rPr>
          <w:b/>
          <w:bCs/>
        </w:rPr>
        <w:t>0,05–0,06 Hektar</w:t>
      </w:r>
      <w:r>
        <w:t xml:space="preserve"> für die </w:t>
      </w:r>
      <w:r>
        <w:rPr>
          <w:b/>
          <w:bCs/>
        </w:rPr>
        <w:t>Vollversiegelung</w:t>
      </w:r>
      <w:r>
        <w:t xml:space="preserve"> und </w:t>
      </w:r>
      <w:r>
        <w:rPr>
          <w:b/>
          <w:bCs/>
        </w:rPr>
        <w:t>0,3–0,5 Hektar</w:t>
      </w:r>
      <w:r>
        <w:t xml:space="preserve"> für die </w:t>
      </w:r>
      <w:r>
        <w:rPr>
          <w:b/>
          <w:bCs/>
        </w:rPr>
        <w:t>Teilversiegelung</w:t>
      </w:r>
      <w:r>
        <w:t xml:space="preserve">. Technische Maßnahmen zur Minderung von </w:t>
      </w:r>
      <w:r>
        <w:rPr>
          <w:b/>
          <w:bCs/>
        </w:rPr>
        <w:t>Schattenwurf</w:t>
      </w:r>
      <w:r>
        <w:t xml:space="preserve"> sowie zur Reduzierung der nächtlichen Lichtbelastung (Befeuerung) wurden ebenfalls angesprochen. Besonders hervorgehoben wurde der Schutz vor </w:t>
      </w:r>
      <w:r>
        <w:rPr>
          <w:b/>
          <w:bCs/>
        </w:rPr>
        <w:t>Vogelkollisionen</w:t>
      </w:r>
      <w:r>
        <w:t xml:space="preserve">, für den moderne </w:t>
      </w:r>
      <w:r>
        <w:rPr>
          <w:b/>
          <w:bCs/>
        </w:rPr>
        <w:t>Kamera- und Radarsysteme</w:t>
      </w:r>
      <w:r>
        <w:t xml:space="preserve"> entwickelt wurden.</w:t>
      </w:r>
    </w:p>
    <w:p w14:paraId="69287153" w14:textId="77777777" w:rsidR="00DC3C19" w:rsidRDefault="00DC3C19" w:rsidP="00DC3C19">
      <w:pPr>
        <w:pStyle w:val="xmsonormal"/>
      </w:pPr>
      <w:r>
        <w:rPr>
          <w:b/>
          <w:bCs/>
        </w:rPr>
        <w:t>5. Verfahren und öffentliche Beteiligung:</w:t>
      </w:r>
    </w:p>
    <w:p w14:paraId="4F906D05" w14:textId="77777777" w:rsidR="00DC3C19" w:rsidRDefault="00DC3C19" w:rsidP="00DC3C19">
      <w:pPr>
        <w:pStyle w:val="xmsonormal"/>
        <w:numPr>
          <w:ilvl w:val="0"/>
          <w:numId w:val="5"/>
        </w:numPr>
      </w:pPr>
      <w:r>
        <w:t xml:space="preserve">Der weitere </w:t>
      </w:r>
      <w:r>
        <w:rPr>
          <w:b/>
          <w:bCs/>
        </w:rPr>
        <w:t>Planungsprozess</w:t>
      </w:r>
      <w:r>
        <w:t xml:space="preserve"> wurde detailliert erläutert. Bis zum </w:t>
      </w:r>
      <w:r>
        <w:rPr>
          <w:b/>
          <w:bCs/>
        </w:rPr>
        <w:t>10. November 2024</w:t>
      </w:r>
      <w:r>
        <w:t xml:space="preserve"> können Stellungnahmen zur Planung online oder per Post eingereicht werden. Auf der Webseite des Regionalverbands </w:t>
      </w:r>
      <w:hyperlink r:id="rId5" w:tgtFrame="_blank" w:history="1">
        <w:r>
          <w:rPr>
            <w:rStyle w:val="Hyperlink"/>
            <w:b/>
            <w:bCs/>
          </w:rPr>
          <w:t>www.rvdi.de</w:t>
        </w:r>
      </w:hyperlink>
      <w:r>
        <w:t xml:space="preserve"> sind alle relevanten Unterlagen einsehbar, ebenso wie in den Landratsämtern und kreisfreien Städten. Der Zeitraum für die </w:t>
      </w:r>
      <w:r>
        <w:rPr>
          <w:b/>
          <w:bCs/>
        </w:rPr>
        <w:t>erste formelle Anhörung</w:t>
      </w:r>
      <w:r>
        <w:t xml:space="preserve"> erstreckt sich vom </w:t>
      </w:r>
      <w:r>
        <w:rPr>
          <w:b/>
          <w:bCs/>
        </w:rPr>
        <w:t>16. September bis zum 10. November 2024</w:t>
      </w:r>
      <w:r>
        <w:t>.</w:t>
      </w:r>
    </w:p>
    <w:p w14:paraId="72B339EC" w14:textId="77777777" w:rsidR="00DC3C19" w:rsidRDefault="00DC3C19" w:rsidP="00DC3C19">
      <w:pPr>
        <w:pStyle w:val="xmsonormal"/>
        <w:ind w:left="720"/>
      </w:pPr>
      <w:r>
        <w:t xml:space="preserve">In den kommenden Wochen finden zudem </w:t>
      </w:r>
      <w:r>
        <w:rPr>
          <w:b/>
          <w:bCs/>
        </w:rPr>
        <w:t>öffentliche Informationsveranstaltungen</w:t>
      </w:r>
      <w:r>
        <w:t xml:space="preserve"> statt:</w:t>
      </w:r>
    </w:p>
    <w:p w14:paraId="60C1FC28" w14:textId="77777777" w:rsidR="00DC3C19" w:rsidRDefault="00DC3C19" w:rsidP="00DC3C19">
      <w:pPr>
        <w:pStyle w:val="xmsonormal"/>
        <w:numPr>
          <w:ilvl w:val="1"/>
          <w:numId w:val="6"/>
        </w:numPr>
      </w:pPr>
      <w:r>
        <w:rPr>
          <w:b/>
          <w:bCs/>
        </w:rPr>
        <w:t>30. September 2024</w:t>
      </w:r>
      <w:r>
        <w:t>: Neu-Ulm, Edwin-Scharff-Haus</w:t>
      </w:r>
    </w:p>
    <w:p w14:paraId="0CF37A41" w14:textId="77777777" w:rsidR="00DC3C19" w:rsidRDefault="00DC3C19" w:rsidP="00DC3C19">
      <w:pPr>
        <w:pStyle w:val="xmsonormal"/>
        <w:numPr>
          <w:ilvl w:val="1"/>
          <w:numId w:val="6"/>
        </w:numPr>
      </w:pPr>
      <w:r>
        <w:rPr>
          <w:b/>
          <w:bCs/>
        </w:rPr>
        <w:t>07. Oktober 2024</w:t>
      </w:r>
      <w:r>
        <w:t>: Laichingen, Daniel-Schwenkmezger-Halle</w:t>
      </w:r>
    </w:p>
    <w:p w14:paraId="73A5BC6B" w14:textId="77777777" w:rsidR="00DC3C19" w:rsidRDefault="00DC3C19" w:rsidP="00DC3C19">
      <w:pPr>
        <w:pStyle w:val="xmsonormal"/>
        <w:numPr>
          <w:ilvl w:val="1"/>
          <w:numId w:val="6"/>
        </w:numPr>
      </w:pPr>
      <w:r>
        <w:rPr>
          <w:b/>
          <w:bCs/>
        </w:rPr>
        <w:t>09. Oktober 2024</w:t>
      </w:r>
      <w:r>
        <w:t>: Jettingen-Scheppach, Turn- und Festhalle</w:t>
      </w:r>
    </w:p>
    <w:p w14:paraId="383A468A" w14:textId="77777777" w:rsidR="00DC3C19" w:rsidRDefault="00DC3C19" w:rsidP="00DC3C19">
      <w:pPr>
        <w:pStyle w:val="xmsonormal"/>
      </w:pPr>
      <w:r>
        <w:rPr>
          <w:b/>
          <w:bCs/>
        </w:rPr>
        <w:t>6. Methodik der Flächenauswahl und Ausschlusskriterien:</w:t>
      </w:r>
    </w:p>
    <w:p w14:paraId="2EB0E4BD" w14:textId="77777777" w:rsidR="00DC3C19" w:rsidRDefault="00DC3C19" w:rsidP="00DC3C19">
      <w:pPr>
        <w:pStyle w:val="xmsonormal"/>
        <w:numPr>
          <w:ilvl w:val="0"/>
          <w:numId w:val="7"/>
        </w:numPr>
      </w:pPr>
      <w:r>
        <w:t xml:space="preserve">Ein wichtiger Teil der Präsentation war die Methodik, mit der die Vorranggebiete ausgewählt wurden. Die </w:t>
      </w:r>
      <w:r>
        <w:rPr>
          <w:b/>
          <w:bCs/>
        </w:rPr>
        <w:t>Ausschlusskriterien</w:t>
      </w:r>
      <w:r>
        <w:t xml:space="preserve"> basieren auf rechtlichen Vorgaben, etwa dem Schutz von Naturschutzgebieten oder Abstandsregelungen zu Siedlungen. Zudem wurde eine </w:t>
      </w:r>
      <w:r>
        <w:rPr>
          <w:b/>
          <w:bCs/>
        </w:rPr>
        <w:t>Flächenpriorisierung</w:t>
      </w:r>
      <w:r>
        <w:t xml:space="preserve"> vorgenommen, um Gebiete mit zusätzlichen Restriktionen zu bewerten. Schließlich erfolgt eine </w:t>
      </w:r>
      <w:r>
        <w:rPr>
          <w:b/>
          <w:bCs/>
        </w:rPr>
        <w:t>Einzelfallbetrachtung</w:t>
      </w:r>
      <w:r>
        <w:t>, bei der weitere planerische Aspekte, wie die Überlastung bestimmter Teilräume, berücksichtigt werden.</w:t>
      </w:r>
    </w:p>
    <w:p w14:paraId="534400DF" w14:textId="77777777" w:rsidR="00DC3C19" w:rsidRDefault="00DC3C19" w:rsidP="00DC3C19">
      <w:pPr>
        <w:pStyle w:val="xmsonormal"/>
      </w:pPr>
      <w:r>
        <w:rPr>
          <w:b/>
          <w:bCs/>
          <w:sz w:val="27"/>
          <w:szCs w:val="27"/>
        </w:rPr>
        <w:t>Beteiligungsmöglichkeiten:</w:t>
      </w:r>
    </w:p>
    <w:p w14:paraId="72E25F86" w14:textId="77777777" w:rsidR="00DC3C19" w:rsidRDefault="00DC3C19" w:rsidP="00DC3C19">
      <w:pPr>
        <w:pStyle w:val="xmsonormal"/>
      </w:pPr>
      <w:r>
        <w:t xml:space="preserve">Die Bürgerinnen und Bürger der Region haben die Möglichkeit, ihre Meinung einzubringen und Stellungnahmen zum Planungsentwurf abzugeben. Diese können per E-Mail an </w:t>
      </w:r>
      <w:r>
        <w:rPr>
          <w:b/>
          <w:bCs/>
        </w:rPr>
        <w:t>beteiligung@rvdi.de</w:t>
      </w:r>
      <w:r>
        <w:t xml:space="preserve"> oder per Post an die Geschäftsstelle des Regionalverbands Donau-Iller gesendet werden:</w:t>
      </w:r>
    </w:p>
    <w:p w14:paraId="717782D3" w14:textId="77777777" w:rsidR="00DC3C19" w:rsidRDefault="00DC3C19" w:rsidP="00DC3C19">
      <w:pPr>
        <w:pStyle w:val="xmsonormal"/>
        <w:numPr>
          <w:ilvl w:val="0"/>
          <w:numId w:val="8"/>
        </w:numPr>
      </w:pPr>
      <w:r>
        <w:rPr>
          <w:b/>
          <w:bCs/>
        </w:rPr>
        <w:t>Regionalverband Donau-Iller</w:t>
      </w:r>
      <w:r>
        <w:br/>
        <w:t>Schwambergerstraße 35</w:t>
      </w:r>
      <w:r>
        <w:br/>
        <w:t>89073 Ulm</w:t>
      </w:r>
    </w:p>
    <w:p w14:paraId="10E2CF44" w14:textId="77777777" w:rsidR="00DC3C19" w:rsidRDefault="00DC3C19" w:rsidP="00DC3C19">
      <w:pPr>
        <w:pStyle w:val="xmsonormal"/>
      </w:pPr>
      <w:r>
        <w:t xml:space="preserve">Die Rückmeldungen werden nach Ablauf des Anhörungszeitraums ausgewertet, bevor die Planungsunterlagen weiter angepasst werden. Eine zweite formelle Anhörung ist für das Jahr </w:t>
      </w:r>
      <w:r>
        <w:rPr>
          <w:b/>
          <w:bCs/>
        </w:rPr>
        <w:t>2025</w:t>
      </w:r>
      <w:r>
        <w:t xml:space="preserve"> geplant.</w:t>
      </w:r>
    </w:p>
    <w:p w14:paraId="6A5AA395" w14:textId="5F3EC307" w:rsidR="00DC3C19" w:rsidRDefault="00DC3C19" w:rsidP="00DC3C19">
      <w:pPr>
        <w:pStyle w:val="xmsonormal"/>
      </w:pPr>
      <w:r>
        <w:t>Erwin Haider</w:t>
      </w:r>
    </w:p>
    <w:p w14:paraId="7F9F1BDD" w14:textId="77777777" w:rsidR="00C420AB" w:rsidRDefault="005E3F5E"/>
    <w:sectPr w:rsidR="00C420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04E0"/>
    <w:multiLevelType w:val="multilevel"/>
    <w:tmpl w:val="7000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B24E16"/>
    <w:multiLevelType w:val="multilevel"/>
    <w:tmpl w:val="D70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E0165A"/>
    <w:multiLevelType w:val="multilevel"/>
    <w:tmpl w:val="402C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5850F8"/>
    <w:multiLevelType w:val="multilevel"/>
    <w:tmpl w:val="165C3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BF168F"/>
    <w:multiLevelType w:val="multilevel"/>
    <w:tmpl w:val="5498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4C432B"/>
    <w:multiLevelType w:val="multilevel"/>
    <w:tmpl w:val="F93C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51097E"/>
    <w:multiLevelType w:val="multilevel"/>
    <w:tmpl w:val="9D52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D146D1"/>
    <w:multiLevelType w:val="multilevel"/>
    <w:tmpl w:val="FE1E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6"/>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19"/>
    <w:rsid w:val="00207940"/>
    <w:rsid w:val="005E3F5E"/>
    <w:rsid w:val="00CC6695"/>
    <w:rsid w:val="00DC3C19"/>
    <w:rsid w:val="00F700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7EBB"/>
  <w15:chartTrackingRefBased/>
  <w15:docId w15:val="{2CF0A24A-0BE3-43AE-A3AA-A1AF999D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xmsonormal">
    <w:name w:val="x_msonormal"/>
    <w:basedOn w:val="Standard"/>
    <w:rsid w:val="00DC3C1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C3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7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vd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4372</Characters>
  <Application>Microsoft Office Word</Application>
  <DocSecurity>0</DocSecurity>
  <Lines>36</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Haider</dc:creator>
  <cp:keywords/>
  <dc:description/>
  <cp:lastModifiedBy>Haider Erwin</cp:lastModifiedBy>
  <cp:revision>2</cp:revision>
  <dcterms:created xsi:type="dcterms:W3CDTF">2024-10-11T06:11:00Z</dcterms:created>
  <dcterms:modified xsi:type="dcterms:W3CDTF">2026-01-10T16:45:00Z</dcterms:modified>
</cp:coreProperties>
</file>